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38" w:type="dxa"/>
        <w:tblLook w:val="04A0" w:firstRow="1" w:lastRow="0" w:firstColumn="1" w:lastColumn="0" w:noHBand="0" w:noVBand="1"/>
      </w:tblPr>
      <w:tblGrid>
        <w:gridCol w:w="4698"/>
        <w:gridCol w:w="5220"/>
        <w:gridCol w:w="4520"/>
      </w:tblGrid>
      <w:tr w:rsidR="00491408" w:rsidRPr="007408F9" w:rsidTr="00316B7F">
        <w:trPr>
          <w:trHeight w:val="674"/>
        </w:trPr>
        <w:tc>
          <w:tcPr>
            <w:tcW w:w="4698"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FC3651" w:rsidRPr="007408F9" w:rsidRDefault="00FC3651" w:rsidP="00FC3651">
            <w:pPr>
              <w:jc w:val="center"/>
              <w:rPr>
                <w:rFonts w:asciiTheme="majorHAnsi" w:hAnsiTheme="majorHAnsi"/>
                <w:b/>
                <w:szCs w:val="24"/>
              </w:rPr>
            </w:pPr>
            <w:bookmarkStart w:id="0" w:name="_GoBack"/>
            <w:bookmarkEnd w:id="0"/>
            <w:r w:rsidRPr="007408F9">
              <w:rPr>
                <w:rFonts w:asciiTheme="majorHAnsi" w:hAnsiTheme="majorHAnsi"/>
                <w:b/>
                <w:szCs w:val="24"/>
              </w:rPr>
              <w:t>Studio Habits of Mind</w:t>
            </w:r>
          </w:p>
        </w:tc>
        <w:tc>
          <w:tcPr>
            <w:tcW w:w="5220"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FC3651" w:rsidRPr="007408F9" w:rsidRDefault="00FC3651" w:rsidP="00A817B3">
            <w:pPr>
              <w:jc w:val="center"/>
              <w:rPr>
                <w:rFonts w:asciiTheme="majorHAnsi" w:hAnsiTheme="majorHAnsi"/>
                <w:b/>
                <w:szCs w:val="24"/>
              </w:rPr>
            </w:pPr>
            <w:r w:rsidRPr="007408F9">
              <w:rPr>
                <w:rFonts w:asciiTheme="majorHAnsi" w:hAnsiTheme="majorHAnsi"/>
                <w:b/>
                <w:szCs w:val="24"/>
              </w:rPr>
              <w:t>English Language Arts</w:t>
            </w:r>
            <w:r w:rsidR="00A817B3">
              <w:rPr>
                <w:rFonts w:asciiTheme="majorHAnsi" w:hAnsiTheme="majorHAnsi"/>
                <w:b/>
                <w:szCs w:val="24"/>
              </w:rPr>
              <w:t xml:space="preserve"> </w:t>
            </w:r>
            <w:r w:rsidRPr="007408F9">
              <w:rPr>
                <w:rFonts w:asciiTheme="majorHAnsi" w:hAnsiTheme="majorHAnsi"/>
                <w:b/>
                <w:szCs w:val="24"/>
              </w:rPr>
              <w:t>Common Core</w:t>
            </w:r>
          </w:p>
        </w:tc>
        <w:tc>
          <w:tcPr>
            <w:tcW w:w="4520"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FC3651" w:rsidRPr="007408F9" w:rsidRDefault="00FC3651" w:rsidP="00FC3651">
            <w:pPr>
              <w:jc w:val="center"/>
              <w:rPr>
                <w:rFonts w:asciiTheme="majorHAnsi" w:hAnsiTheme="majorHAnsi"/>
                <w:b/>
                <w:szCs w:val="24"/>
              </w:rPr>
            </w:pPr>
            <w:r w:rsidRPr="007408F9">
              <w:rPr>
                <w:rFonts w:asciiTheme="majorHAnsi" w:hAnsiTheme="majorHAnsi"/>
                <w:b/>
                <w:szCs w:val="24"/>
              </w:rPr>
              <w:t>Math Common Core</w:t>
            </w:r>
          </w:p>
        </w:tc>
      </w:tr>
      <w:tr w:rsidR="00491408" w:rsidRPr="007408F9" w:rsidTr="00316B7F">
        <w:trPr>
          <w:trHeight w:val="1069"/>
        </w:trPr>
        <w:tc>
          <w:tcPr>
            <w:tcW w:w="4698" w:type="dxa"/>
            <w:tcBorders>
              <w:top w:val="single" w:sz="12" w:space="0" w:color="auto"/>
            </w:tcBorders>
            <w:shd w:val="clear" w:color="auto" w:fill="EAF1DD" w:themeFill="accent3" w:themeFillTint="33"/>
          </w:tcPr>
          <w:p w:rsidR="0044269A" w:rsidRPr="007408F9" w:rsidRDefault="00FC3651" w:rsidP="00FC3651">
            <w:pPr>
              <w:rPr>
                <w:rFonts w:asciiTheme="majorHAnsi" w:hAnsiTheme="majorHAnsi"/>
                <w:sz w:val="20"/>
                <w:szCs w:val="20"/>
              </w:rPr>
            </w:pPr>
            <w:r w:rsidRPr="005E7AC8">
              <w:rPr>
                <w:rFonts w:asciiTheme="majorHAnsi" w:hAnsiTheme="majorHAnsi"/>
                <w:b/>
                <w:sz w:val="20"/>
                <w:szCs w:val="20"/>
              </w:rPr>
              <w:t>Develop Craft</w:t>
            </w:r>
            <w:r w:rsidR="005E7AC8">
              <w:rPr>
                <w:rFonts w:asciiTheme="majorHAnsi" w:hAnsiTheme="majorHAnsi"/>
                <w:sz w:val="20"/>
                <w:szCs w:val="20"/>
              </w:rPr>
              <w:t>:</w:t>
            </w:r>
            <w:r w:rsidRPr="007408F9">
              <w:rPr>
                <w:rFonts w:asciiTheme="majorHAnsi" w:hAnsiTheme="majorHAnsi"/>
                <w:sz w:val="20"/>
                <w:szCs w:val="20"/>
              </w:rPr>
              <w:t xml:space="preserve"> Learning to use and care for tools (e.g., viewfinders, brushes), materials (e.g., charcoal, paint).</w:t>
            </w:r>
            <w:r w:rsidR="005E7AC8">
              <w:rPr>
                <w:rFonts w:asciiTheme="majorHAnsi" w:hAnsiTheme="majorHAnsi"/>
                <w:sz w:val="20"/>
                <w:szCs w:val="20"/>
              </w:rPr>
              <w:t xml:space="preserve">  </w:t>
            </w:r>
            <w:r w:rsidR="0044269A" w:rsidRPr="007408F9">
              <w:rPr>
                <w:rFonts w:asciiTheme="majorHAnsi" w:hAnsiTheme="majorHAnsi"/>
                <w:sz w:val="20"/>
                <w:szCs w:val="20"/>
              </w:rPr>
              <w:t>Learning artistic conventions (e.g., perspective, color mixing)</w:t>
            </w:r>
            <w:r w:rsidR="005E7AC8">
              <w:rPr>
                <w:rFonts w:asciiTheme="majorHAnsi" w:hAnsiTheme="majorHAnsi"/>
                <w:sz w:val="20"/>
                <w:szCs w:val="20"/>
              </w:rPr>
              <w:t>.</w:t>
            </w:r>
          </w:p>
        </w:tc>
        <w:tc>
          <w:tcPr>
            <w:tcW w:w="5220" w:type="dxa"/>
            <w:tcBorders>
              <w:top w:val="single" w:sz="12" w:space="0" w:color="auto"/>
            </w:tcBorders>
          </w:tcPr>
          <w:p w:rsidR="00FC3651" w:rsidRPr="007408F9" w:rsidRDefault="00657C48" w:rsidP="00FC3651">
            <w:pPr>
              <w:rPr>
                <w:rFonts w:asciiTheme="majorHAnsi" w:hAnsiTheme="majorHAnsi"/>
                <w:sz w:val="20"/>
                <w:szCs w:val="20"/>
              </w:rPr>
            </w:pPr>
            <w:r>
              <w:rPr>
                <w:rFonts w:asciiTheme="majorHAnsi" w:hAnsiTheme="majorHAnsi"/>
                <w:sz w:val="20"/>
                <w:szCs w:val="20"/>
              </w:rPr>
              <w:t>Learning structures (outlines, formulas, conventions) to write their own works.  Learning &amp; utilizing rhetorical strategies and structured arguments.  Developing the ability to recognize and avoid logical fallacies.</w:t>
            </w:r>
          </w:p>
        </w:tc>
        <w:tc>
          <w:tcPr>
            <w:tcW w:w="4520" w:type="dxa"/>
            <w:tcBorders>
              <w:top w:val="single" w:sz="12" w:space="0" w:color="auto"/>
            </w:tcBorders>
          </w:tcPr>
          <w:p w:rsidR="0044269A" w:rsidRPr="007408F9" w:rsidRDefault="000E7299" w:rsidP="0044269A">
            <w:pPr>
              <w:rPr>
                <w:rFonts w:asciiTheme="majorHAnsi" w:hAnsiTheme="majorHAnsi"/>
                <w:sz w:val="20"/>
                <w:szCs w:val="20"/>
              </w:rPr>
            </w:pPr>
            <w:r>
              <w:rPr>
                <w:rFonts w:asciiTheme="majorHAnsi" w:hAnsiTheme="majorHAnsi"/>
                <w:sz w:val="20"/>
                <w:szCs w:val="20"/>
              </w:rPr>
              <w:t>Learning to use tools (straightedge, compass, graphing calculator).  Learning to use and interpret mathematical symbols and conventions to communicate their ideas.</w:t>
            </w:r>
          </w:p>
        </w:tc>
      </w:tr>
      <w:tr w:rsidR="00491408" w:rsidRPr="007408F9" w:rsidTr="00316B7F">
        <w:trPr>
          <w:trHeight w:val="953"/>
        </w:trPr>
        <w:tc>
          <w:tcPr>
            <w:tcW w:w="4698" w:type="dxa"/>
            <w:shd w:val="clear" w:color="auto" w:fill="EAF1DD" w:themeFill="accent3" w:themeFillTint="33"/>
          </w:tcPr>
          <w:p w:rsidR="00FC3651" w:rsidRPr="005E7AC8" w:rsidRDefault="005E7AC8" w:rsidP="005E7AC8">
            <w:pPr>
              <w:rPr>
                <w:rFonts w:asciiTheme="majorHAnsi" w:hAnsiTheme="majorHAnsi"/>
                <w:b/>
                <w:sz w:val="20"/>
                <w:szCs w:val="20"/>
              </w:rPr>
            </w:pPr>
            <w:r w:rsidRPr="005E7AC8">
              <w:rPr>
                <w:rFonts w:asciiTheme="majorHAnsi" w:hAnsiTheme="majorHAnsi"/>
                <w:b/>
                <w:sz w:val="20"/>
                <w:szCs w:val="20"/>
              </w:rPr>
              <w:t>Engage and Persist</w:t>
            </w:r>
            <w:r>
              <w:rPr>
                <w:rFonts w:asciiTheme="majorHAnsi" w:hAnsiTheme="majorHAnsi"/>
                <w:sz w:val="20"/>
                <w:szCs w:val="20"/>
              </w:rPr>
              <w:t>: Learning to embrace problems of relevance within the art world and/or of personal importance, to develop focus and other mental states conducive to working and persevering at art tasks</w:t>
            </w:r>
            <w:r>
              <w:rPr>
                <w:rFonts w:asciiTheme="majorHAnsi" w:hAnsiTheme="majorHAnsi"/>
                <w:b/>
                <w:sz w:val="20"/>
                <w:szCs w:val="20"/>
              </w:rPr>
              <w:t>.</w:t>
            </w:r>
          </w:p>
        </w:tc>
        <w:tc>
          <w:tcPr>
            <w:tcW w:w="5220" w:type="dxa"/>
          </w:tcPr>
          <w:p w:rsidR="00B85A23" w:rsidRPr="007408F9" w:rsidRDefault="00657C48" w:rsidP="00FC3651">
            <w:pPr>
              <w:rPr>
                <w:rFonts w:asciiTheme="majorHAnsi" w:hAnsiTheme="majorHAnsi"/>
                <w:sz w:val="20"/>
                <w:szCs w:val="20"/>
              </w:rPr>
            </w:pPr>
            <w:r>
              <w:rPr>
                <w:rFonts w:asciiTheme="majorHAnsi" w:hAnsiTheme="majorHAnsi"/>
                <w:sz w:val="20"/>
                <w:szCs w:val="20"/>
              </w:rPr>
              <w:t>Learning strategies for reading comprehension as well as interpreting literature on an abstract level (e.g. annotation, marginalia, question-asking).  Learning to engage in the revision process.  Learning to brainstorm, free-write, or mind map when confronted with “writer’s block” or a difficult task.</w:t>
            </w:r>
          </w:p>
        </w:tc>
        <w:tc>
          <w:tcPr>
            <w:tcW w:w="4520" w:type="dxa"/>
          </w:tcPr>
          <w:p w:rsidR="00FC3651" w:rsidRDefault="000E7299" w:rsidP="00FC3651">
            <w:pPr>
              <w:rPr>
                <w:rFonts w:asciiTheme="majorHAnsi" w:hAnsiTheme="majorHAnsi"/>
                <w:sz w:val="20"/>
                <w:szCs w:val="20"/>
              </w:rPr>
            </w:pPr>
            <w:r>
              <w:rPr>
                <w:rFonts w:asciiTheme="majorHAnsi" w:hAnsiTheme="majorHAnsi"/>
                <w:sz w:val="20"/>
                <w:szCs w:val="20"/>
              </w:rPr>
              <w:t>Learning to make math relevant by applying skills and problem solving processes to real-world situation.  Learning to persist in approaching a problem, reading directions, asking thoughtful questions, and accepting that you may feel stuck or get the wrong answer before you get the right one.</w:t>
            </w:r>
          </w:p>
          <w:p w:rsidR="00800D2B" w:rsidRPr="007408F9" w:rsidRDefault="00800D2B" w:rsidP="00FC3651">
            <w:pPr>
              <w:rPr>
                <w:rFonts w:asciiTheme="majorHAnsi" w:hAnsiTheme="majorHAnsi"/>
                <w:sz w:val="20"/>
                <w:szCs w:val="20"/>
              </w:rPr>
            </w:pPr>
          </w:p>
        </w:tc>
      </w:tr>
      <w:tr w:rsidR="00491408" w:rsidRPr="007408F9" w:rsidTr="00316B7F">
        <w:trPr>
          <w:trHeight w:val="1037"/>
        </w:trPr>
        <w:tc>
          <w:tcPr>
            <w:tcW w:w="4698" w:type="dxa"/>
            <w:shd w:val="clear" w:color="auto" w:fill="EAF1DD" w:themeFill="accent3" w:themeFillTint="33"/>
          </w:tcPr>
          <w:p w:rsidR="00FC3651" w:rsidRPr="007408F9" w:rsidRDefault="00B85A23" w:rsidP="00B85A23">
            <w:pPr>
              <w:rPr>
                <w:rFonts w:asciiTheme="majorHAnsi" w:hAnsiTheme="majorHAnsi"/>
                <w:sz w:val="20"/>
                <w:szCs w:val="20"/>
              </w:rPr>
            </w:pPr>
            <w:r w:rsidRPr="005E7AC8">
              <w:rPr>
                <w:rFonts w:asciiTheme="majorHAnsi" w:hAnsiTheme="majorHAnsi"/>
                <w:b/>
                <w:sz w:val="20"/>
                <w:szCs w:val="20"/>
              </w:rPr>
              <w:t>Envision</w:t>
            </w:r>
            <w:r w:rsidR="005E7AC8">
              <w:rPr>
                <w:rFonts w:asciiTheme="majorHAnsi" w:hAnsiTheme="majorHAnsi"/>
                <w:sz w:val="20"/>
                <w:szCs w:val="20"/>
              </w:rPr>
              <w:t>: Learning to p</w:t>
            </w:r>
            <w:r w:rsidRPr="007408F9">
              <w:rPr>
                <w:rFonts w:asciiTheme="majorHAnsi" w:hAnsiTheme="majorHAnsi"/>
                <w:sz w:val="20"/>
                <w:szCs w:val="20"/>
              </w:rPr>
              <w:t xml:space="preserve">icture mentally what cannot be directly </w:t>
            </w:r>
            <w:r w:rsidR="005E7AC8" w:rsidRPr="007408F9">
              <w:rPr>
                <w:rFonts w:asciiTheme="majorHAnsi" w:hAnsiTheme="majorHAnsi"/>
                <w:sz w:val="20"/>
                <w:szCs w:val="20"/>
              </w:rPr>
              <w:t>observed and</w:t>
            </w:r>
            <w:r w:rsidRPr="007408F9">
              <w:rPr>
                <w:rFonts w:asciiTheme="majorHAnsi" w:hAnsiTheme="majorHAnsi"/>
                <w:sz w:val="20"/>
                <w:szCs w:val="20"/>
              </w:rPr>
              <w:t xml:space="preserve"> imagine possible next steps in making a piece</w:t>
            </w:r>
            <w:r w:rsidR="005E7AC8">
              <w:rPr>
                <w:rFonts w:asciiTheme="majorHAnsi" w:hAnsiTheme="majorHAnsi"/>
                <w:sz w:val="20"/>
                <w:szCs w:val="20"/>
              </w:rPr>
              <w:t>.</w:t>
            </w:r>
          </w:p>
        </w:tc>
        <w:tc>
          <w:tcPr>
            <w:tcW w:w="5220" w:type="dxa"/>
          </w:tcPr>
          <w:p w:rsidR="00B85A23" w:rsidRPr="007408F9" w:rsidRDefault="00657C48" w:rsidP="00FC3651">
            <w:pPr>
              <w:rPr>
                <w:rFonts w:asciiTheme="majorHAnsi" w:hAnsiTheme="majorHAnsi"/>
                <w:sz w:val="20"/>
                <w:szCs w:val="20"/>
              </w:rPr>
            </w:pPr>
            <w:r>
              <w:rPr>
                <w:rFonts w:asciiTheme="majorHAnsi" w:hAnsiTheme="majorHAnsi"/>
                <w:sz w:val="20"/>
                <w:szCs w:val="20"/>
              </w:rPr>
              <w:t>Learning to predict, visualize, and infer to deepen understanding of literature.  Formulating creative, well-informed theories about literature and language.  Imagining characters, stories, or poems.</w:t>
            </w:r>
          </w:p>
        </w:tc>
        <w:tc>
          <w:tcPr>
            <w:tcW w:w="4520" w:type="dxa"/>
          </w:tcPr>
          <w:p w:rsidR="00FC3651" w:rsidRDefault="000E7299" w:rsidP="00FC3651">
            <w:pPr>
              <w:rPr>
                <w:rFonts w:asciiTheme="majorHAnsi" w:hAnsiTheme="majorHAnsi"/>
                <w:sz w:val="20"/>
                <w:szCs w:val="20"/>
              </w:rPr>
            </w:pPr>
            <w:r>
              <w:rPr>
                <w:rFonts w:asciiTheme="majorHAnsi" w:hAnsiTheme="majorHAnsi"/>
                <w:sz w:val="20"/>
                <w:szCs w:val="20"/>
              </w:rPr>
              <w:t>Learning to use patterns to predict future outcomes and behavior.  Learning to envision multiple approaches to solve a problem and visuali</w:t>
            </w:r>
            <w:r w:rsidR="00BE1E84">
              <w:rPr>
                <w:rFonts w:asciiTheme="majorHAnsi" w:hAnsiTheme="majorHAnsi"/>
                <w:sz w:val="20"/>
                <w:szCs w:val="20"/>
              </w:rPr>
              <w:t>ze different representations of</w:t>
            </w:r>
            <w:r>
              <w:rPr>
                <w:rFonts w:asciiTheme="majorHAnsi" w:hAnsiTheme="majorHAnsi"/>
                <w:sz w:val="20"/>
                <w:szCs w:val="20"/>
              </w:rPr>
              <w:t xml:space="preserve"> both solution and process.</w:t>
            </w:r>
          </w:p>
          <w:p w:rsidR="00800D2B" w:rsidRPr="007408F9" w:rsidRDefault="00800D2B" w:rsidP="00FC3651">
            <w:pPr>
              <w:rPr>
                <w:rFonts w:asciiTheme="majorHAnsi" w:hAnsiTheme="majorHAnsi"/>
                <w:sz w:val="20"/>
                <w:szCs w:val="20"/>
              </w:rPr>
            </w:pPr>
          </w:p>
        </w:tc>
      </w:tr>
      <w:tr w:rsidR="00491408" w:rsidRPr="007408F9" w:rsidTr="00316B7F">
        <w:trPr>
          <w:trHeight w:val="1048"/>
        </w:trPr>
        <w:tc>
          <w:tcPr>
            <w:tcW w:w="4698" w:type="dxa"/>
            <w:shd w:val="clear" w:color="auto" w:fill="EAF1DD" w:themeFill="accent3" w:themeFillTint="33"/>
          </w:tcPr>
          <w:p w:rsidR="00FC3651" w:rsidRPr="007408F9" w:rsidRDefault="005E7AC8" w:rsidP="00FC3651">
            <w:pPr>
              <w:rPr>
                <w:rFonts w:asciiTheme="majorHAnsi" w:hAnsiTheme="majorHAnsi"/>
                <w:sz w:val="20"/>
                <w:szCs w:val="20"/>
              </w:rPr>
            </w:pPr>
            <w:r>
              <w:rPr>
                <w:rFonts w:asciiTheme="majorHAnsi" w:hAnsiTheme="majorHAnsi"/>
                <w:b/>
                <w:sz w:val="20"/>
                <w:szCs w:val="20"/>
              </w:rPr>
              <w:t xml:space="preserve">Express: </w:t>
            </w:r>
            <w:r>
              <w:rPr>
                <w:rFonts w:asciiTheme="majorHAnsi" w:hAnsiTheme="majorHAnsi"/>
                <w:sz w:val="20"/>
                <w:szCs w:val="20"/>
              </w:rPr>
              <w:t xml:space="preserve"> Learning to create w</w:t>
            </w:r>
            <w:r w:rsidR="00B85A23" w:rsidRPr="007408F9">
              <w:rPr>
                <w:rFonts w:asciiTheme="majorHAnsi" w:hAnsiTheme="majorHAnsi"/>
                <w:sz w:val="20"/>
                <w:szCs w:val="20"/>
              </w:rPr>
              <w:t>orks that convey an idea, a feeling, or a personal meaning</w:t>
            </w:r>
            <w:r>
              <w:rPr>
                <w:rFonts w:asciiTheme="majorHAnsi" w:hAnsiTheme="majorHAnsi"/>
                <w:sz w:val="20"/>
                <w:szCs w:val="20"/>
              </w:rPr>
              <w:t>.</w:t>
            </w:r>
          </w:p>
        </w:tc>
        <w:tc>
          <w:tcPr>
            <w:tcW w:w="5220" w:type="dxa"/>
          </w:tcPr>
          <w:p w:rsidR="00800D2B" w:rsidRPr="007408F9" w:rsidRDefault="00657C48" w:rsidP="00FC3651">
            <w:pPr>
              <w:rPr>
                <w:rFonts w:asciiTheme="majorHAnsi" w:hAnsiTheme="majorHAnsi"/>
                <w:sz w:val="20"/>
                <w:szCs w:val="20"/>
              </w:rPr>
            </w:pPr>
            <w:r>
              <w:rPr>
                <w:rFonts w:asciiTheme="majorHAnsi" w:hAnsiTheme="majorHAnsi"/>
                <w:sz w:val="20"/>
                <w:szCs w:val="20"/>
              </w:rPr>
              <w:t>Learning about how to write to different audiences while maintaining tone, voice</w:t>
            </w:r>
            <w:r w:rsidR="00481899">
              <w:rPr>
                <w:rFonts w:asciiTheme="majorHAnsi" w:hAnsiTheme="majorHAnsi"/>
                <w:sz w:val="20"/>
                <w:szCs w:val="20"/>
              </w:rPr>
              <w:t xml:space="preserve"> and mode.  Learning how to express one’s personal voice</w:t>
            </w:r>
            <w:r>
              <w:rPr>
                <w:rFonts w:asciiTheme="majorHAnsi" w:hAnsiTheme="majorHAnsi"/>
                <w:sz w:val="20"/>
                <w:szCs w:val="20"/>
              </w:rPr>
              <w:t xml:space="preserve"> in multiple modes of writing</w:t>
            </w:r>
            <w:r w:rsidR="00481899">
              <w:rPr>
                <w:rFonts w:asciiTheme="majorHAnsi" w:hAnsiTheme="majorHAnsi"/>
                <w:sz w:val="20"/>
                <w:szCs w:val="20"/>
              </w:rPr>
              <w:t>.  Developing precise vocabulary, diction and syntax to enhance voice.</w:t>
            </w:r>
          </w:p>
        </w:tc>
        <w:tc>
          <w:tcPr>
            <w:tcW w:w="4520" w:type="dxa"/>
          </w:tcPr>
          <w:p w:rsidR="00B85A23" w:rsidRPr="007408F9" w:rsidRDefault="00BE1E84" w:rsidP="00FC3651">
            <w:pPr>
              <w:rPr>
                <w:rFonts w:asciiTheme="majorHAnsi" w:hAnsiTheme="majorHAnsi"/>
                <w:sz w:val="20"/>
                <w:szCs w:val="20"/>
              </w:rPr>
            </w:pPr>
            <w:r>
              <w:rPr>
                <w:rFonts w:asciiTheme="majorHAnsi" w:hAnsiTheme="majorHAnsi"/>
                <w:sz w:val="20"/>
                <w:szCs w:val="20"/>
              </w:rPr>
              <w:t xml:space="preserve">Learning to create mathematical works (proofs, art, </w:t>
            </w:r>
            <w:proofErr w:type="gramStart"/>
            <w:r>
              <w:rPr>
                <w:rFonts w:asciiTheme="majorHAnsi" w:hAnsiTheme="majorHAnsi"/>
                <w:sz w:val="20"/>
                <w:szCs w:val="20"/>
              </w:rPr>
              <w:t>written</w:t>
            </w:r>
            <w:proofErr w:type="gramEnd"/>
            <w:r>
              <w:rPr>
                <w:rFonts w:asciiTheme="majorHAnsi" w:hAnsiTheme="majorHAnsi"/>
                <w:sz w:val="20"/>
                <w:szCs w:val="20"/>
              </w:rPr>
              <w:t xml:space="preserve"> work for real-life problems) that convey an idea or a relationship to our personal lives.</w:t>
            </w:r>
          </w:p>
        </w:tc>
      </w:tr>
      <w:tr w:rsidR="00491408" w:rsidRPr="007408F9" w:rsidTr="00316B7F">
        <w:trPr>
          <w:trHeight w:val="1048"/>
        </w:trPr>
        <w:tc>
          <w:tcPr>
            <w:tcW w:w="4698" w:type="dxa"/>
            <w:shd w:val="clear" w:color="auto" w:fill="EAF1DD" w:themeFill="accent3" w:themeFillTint="33"/>
          </w:tcPr>
          <w:p w:rsidR="005E7AC8" w:rsidRDefault="003F458A" w:rsidP="005E7AC8">
            <w:pPr>
              <w:rPr>
                <w:rFonts w:asciiTheme="majorHAnsi" w:hAnsiTheme="majorHAnsi"/>
                <w:sz w:val="20"/>
                <w:szCs w:val="20"/>
              </w:rPr>
            </w:pPr>
            <w:r w:rsidRPr="003F458A">
              <w:rPr>
                <w:rFonts w:asciiTheme="majorHAnsi" w:hAnsiTheme="majorHAnsi"/>
                <w:b/>
                <w:sz w:val="20"/>
                <w:szCs w:val="20"/>
              </w:rPr>
              <w:t>Observe</w:t>
            </w:r>
            <w:r>
              <w:rPr>
                <w:rFonts w:asciiTheme="majorHAnsi" w:hAnsiTheme="majorHAnsi"/>
                <w:sz w:val="20"/>
                <w:szCs w:val="20"/>
              </w:rPr>
              <w:t>: Learning to attend to visual contexts more closely than ordinary “looking” requires, and thereby to see things that otherwise might not be seen.</w:t>
            </w:r>
          </w:p>
          <w:p w:rsidR="00FC3651" w:rsidRPr="007408F9" w:rsidRDefault="00FC3651" w:rsidP="005E7AC8">
            <w:pPr>
              <w:rPr>
                <w:rFonts w:asciiTheme="majorHAnsi" w:hAnsiTheme="majorHAnsi"/>
                <w:sz w:val="20"/>
                <w:szCs w:val="20"/>
              </w:rPr>
            </w:pPr>
          </w:p>
        </w:tc>
        <w:tc>
          <w:tcPr>
            <w:tcW w:w="5220" w:type="dxa"/>
          </w:tcPr>
          <w:p w:rsidR="00B85A23" w:rsidRPr="007408F9" w:rsidRDefault="00481899" w:rsidP="00481899">
            <w:pPr>
              <w:rPr>
                <w:rFonts w:asciiTheme="majorHAnsi" w:hAnsiTheme="majorHAnsi"/>
                <w:sz w:val="20"/>
                <w:szCs w:val="20"/>
              </w:rPr>
            </w:pPr>
            <w:r>
              <w:rPr>
                <w:rFonts w:asciiTheme="majorHAnsi" w:hAnsiTheme="majorHAnsi"/>
                <w:sz w:val="20"/>
                <w:szCs w:val="20"/>
              </w:rPr>
              <w:t>Learning about language by reading excellent texts.   Learning to interpret test questions.  Learning the skill of carefully considering another’s writing and offerin</w:t>
            </w:r>
            <w:r w:rsidR="000E7299">
              <w:rPr>
                <w:rFonts w:asciiTheme="majorHAnsi" w:hAnsiTheme="majorHAnsi"/>
                <w:sz w:val="20"/>
                <w:szCs w:val="20"/>
              </w:rPr>
              <w:t>g up good advice.  Investigating</w:t>
            </w:r>
            <w:r>
              <w:rPr>
                <w:rFonts w:asciiTheme="majorHAnsi" w:hAnsiTheme="majorHAnsi"/>
                <w:sz w:val="20"/>
                <w:szCs w:val="20"/>
              </w:rPr>
              <w:t xml:space="preserve"> historical and psychological/personal context of author/text.  Closely reading a text to recognize how a particular technique </w:t>
            </w:r>
            <w:r w:rsidR="000E7299">
              <w:rPr>
                <w:rFonts w:asciiTheme="majorHAnsi" w:hAnsiTheme="majorHAnsi"/>
                <w:sz w:val="20"/>
                <w:szCs w:val="20"/>
              </w:rPr>
              <w:t>reinforces content or theme.</w:t>
            </w:r>
          </w:p>
        </w:tc>
        <w:tc>
          <w:tcPr>
            <w:tcW w:w="4520" w:type="dxa"/>
          </w:tcPr>
          <w:p w:rsidR="00FC3651" w:rsidRPr="007408F9" w:rsidRDefault="00BE1E84" w:rsidP="00FC3651">
            <w:pPr>
              <w:rPr>
                <w:rFonts w:asciiTheme="majorHAnsi" w:hAnsiTheme="majorHAnsi"/>
                <w:sz w:val="20"/>
                <w:szCs w:val="20"/>
              </w:rPr>
            </w:pPr>
            <w:r>
              <w:rPr>
                <w:rFonts w:asciiTheme="majorHAnsi" w:hAnsiTheme="majorHAnsi"/>
                <w:sz w:val="20"/>
                <w:szCs w:val="20"/>
              </w:rPr>
              <w:t>Learning to attend to visual contexts on diagrams and within reading a problem situation more closely and with intention; and thereby seeing things that otherwise might not be seen.</w:t>
            </w:r>
          </w:p>
        </w:tc>
      </w:tr>
      <w:tr w:rsidR="00491408" w:rsidRPr="007408F9" w:rsidTr="00316B7F">
        <w:trPr>
          <w:trHeight w:val="1048"/>
        </w:trPr>
        <w:tc>
          <w:tcPr>
            <w:tcW w:w="4698" w:type="dxa"/>
            <w:shd w:val="clear" w:color="auto" w:fill="EAF1DD" w:themeFill="accent3" w:themeFillTint="33"/>
          </w:tcPr>
          <w:p w:rsidR="003F458A" w:rsidRDefault="003F458A" w:rsidP="003F458A">
            <w:pPr>
              <w:rPr>
                <w:rFonts w:asciiTheme="majorHAnsi" w:hAnsiTheme="majorHAnsi"/>
                <w:sz w:val="20"/>
                <w:szCs w:val="20"/>
              </w:rPr>
            </w:pPr>
            <w:r>
              <w:rPr>
                <w:rFonts w:asciiTheme="majorHAnsi" w:hAnsiTheme="majorHAnsi"/>
                <w:b/>
                <w:sz w:val="20"/>
                <w:szCs w:val="20"/>
              </w:rPr>
              <w:t xml:space="preserve">Reflect: </w:t>
            </w:r>
            <w:r w:rsidRPr="005E7AC8">
              <w:rPr>
                <w:rFonts w:asciiTheme="majorHAnsi" w:hAnsiTheme="majorHAnsi"/>
                <w:i/>
                <w:sz w:val="20"/>
                <w:szCs w:val="20"/>
              </w:rPr>
              <w:t>Question &amp; Explain</w:t>
            </w:r>
            <w:r w:rsidRPr="007408F9">
              <w:rPr>
                <w:rFonts w:asciiTheme="majorHAnsi" w:hAnsiTheme="majorHAnsi"/>
                <w:sz w:val="20"/>
                <w:szCs w:val="20"/>
              </w:rPr>
              <w:t>:  Learning to think and talk with others about an aspect of one’s work or working process</w:t>
            </w:r>
            <w:r>
              <w:rPr>
                <w:rFonts w:asciiTheme="majorHAnsi" w:hAnsiTheme="majorHAnsi"/>
                <w:sz w:val="20"/>
                <w:szCs w:val="20"/>
              </w:rPr>
              <w:t xml:space="preserve">.  </w:t>
            </w:r>
            <w:r w:rsidRPr="005E7AC8">
              <w:rPr>
                <w:rFonts w:asciiTheme="majorHAnsi" w:hAnsiTheme="majorHAnsi"/>
                <w:i/>
                <w:sz w:val="20"/>
                <w:szCs w:val="20"/>
              </w:rPr>
              <w:t>Evaluate</w:t>
            </w:r>
            <w:r w:rsidRPr="007408F9">
              <w:rPr>
                <w:rFonts w:asciiTheme="majorHAnsi" w:hAnsiTheme="majorHAnsi"/>
                <w:sz w:val="20"/>
                <w:szCs w:val="20"/>
              </w:rPr>
              <w:t>:  Learning to judge one’s own work and working</w:t>
            </w:r>
            <w:r>
              <w:rPr>
                <w:rFonts w:asciiTheme="majorHAnsi" w:hAnsiTheme="majorHAnsi"/>
                <w:sz w:val="20"/>
                <w:szCs w:val="20"/>
              </w:rPr>
              <w:t xml:space="preserve"> </w:t>
            </w:r>
            <w:r w:rsidRPr="007408F9">
              <w:rPr>
                <w:rFonts w:asciiTheme="majorHAnsi" w:hAnsiTheme="majorHAnsi"/>
                <w:sz w:val="20"/>
                <w:szCs w:val="20"/>
              </w:rPr>
              <w:t>process and the work of others in relation to standards of the field</w:t>
            </w:r>
            <w:r>
              <w:rPr>
                <w:rFonts w:asciiTheme="majorHAnsi" w:hAnsiTheme="majorHAnsi"/>
                <w:sz w:val="20"/>
                <w:szCs w:val="20"/>
              </w:rPr>
              <w:t>.</w:t>
            </w:r>
          </w:p>
          <w:p w:rsidR="00FC3651" w:rsidRPr="007408F9" w:rsidRDefault="00FC3651" w:rsidP="00FC3651">
            <w:pPr>
              <w:rPr>
                <w:rFonts w:asciiTheme="majorHAnsi" w:hAnsiTheme="majorHAnsi"/>
                <w:sz w:val="20"/>
                <w:szCs w:val="20"/>
              </w:rPr>
            </w:pPr>
          </w:p>
        </w:tc>
        <w:tc>
          <w:tcPr>
            <w:tcW w:w="5220" w:type="dxa"/>
          </w:tcPr>
          <w:p w:rsidR="00FC3651" w:rsidRPr="007408F9" w:rsidRDefault="000E7299" w:rsidP="00FC3651">
            <w:pPr>
              <w:rPr>
                <w:rFonts w:asciiTheme="majorHAnsi" w:hAnsiTheme="majorHAnsi"/>
                <w:sz w:val="20"/>
                <w:szCs w:val="20"/>
              </w:rPr>
            </w:pPr>
            <w:r>
              <w:rPr>
                <w:rFonts w:asciiTheme="majorHAnsi" w:hAnsiTheme="majorHAnsi"/>
                <w:sz w:val="20"/>
                <w:szCs w:val="20"/>
              </w:rPr>
              <w:t>Learning to engage with others in the brainstorming, writing and peer revision process.  Learning to use the feedback of others to make improvements in your writing.</w:t>
            </w:r>
          </w:p>
        </w:tc>
        <w:tc>
          <w:tcPr>
            <w:tcW w:w="4520" w:type="dxa"/>
          </w:tcPr>
          <w:p w:rsidR="00FC3651" w:rsidRDefault="00BE1E84" w:rsidP="00FC3651">
            <w:pPr>
              <w:rPr>
                <w:rFonts w:asciiTheme="majorHAnsi" w:hAnsiTheme="majorHAnsi"/>
                <w:sz w:val="20"/>
                <w:szCs w:val="20"/>
              </w:rPr>
            </w:pPr>
            <w:r w:rsidRPr="00BE1E84">
              <w:rPr>
                <w:rFonts w:asciiTheme="majorHAnsi" w:hAnsiTheme="majorHAnsi"/>
                <w:i/>
                <w:sz w:val="20"/>
                <w:szCs w:val="20"/>
              </w:rPr>
              <w:t>Question and Explore:</w:t>
            </w:r>
            <w:r>
              <w:rPr>
                <w:rFonts w:asciiTheme="majorHAnsi" w:hAnsiTheme="majorHAnsi"/>
                <w:sz w:val="20"/>
                <w:szCs w:val="20"/>
              </w:rPr>
              <w:t xml:space="preserve">  Learning to think and to talk with others about an aspect of one’s mathematics or mathematical process.</w:t>
            </w:r>
          </w:p>
          <w:p w:rsidR="00BE1E84" w:rsidRPr="007408F9" w:rsidRDefault="00BE1E84" w:rsidP="00FC3651">
            <w:pPr>
              <w:rPr>
                <w:rFonts w:asciiTheme="majorHAnsi" w:hAnsiTheme="majorHAnsi"/>
                <w:sz w:val="20"/>
                <w:szCs w:val="20"/>
              </w:rPr>
            </w:pPr>
            <w:r w:rsidRPr="00BE1E84">
              <w:rPr>
                <w:rFonts w:asciiTheme="majorHAnsi" w:hAnsiTheme="majorHAnsi"/>
                <w:i/>
                <w:sz w:val="20"/>
                <w:szCs w:val="20"/>
              </w:rPr>
              <w:t>Evaluate:</w:t>
            </w:r>
            <w:r>
              <w:rPr>
                <w:rFonts w:asciiTheme="majorHAnsi" w:hAnsiTheme="majorHAnsi"/>
                <w:sz w:val="20"/>
                <w:szCs w:val="20"/>
              </w:rPr>
              <w:t xml:space="preserve">  Learning to judge one’s own mathematics and mathematical process and the work of others in relation to standards of the mathematical field.</w:t>
            </w:r>
          </w:p>
        </w:tc>
      </w:tr>
    </w:tbl>
    <w:p w:rsidR="00800D2B" w:rsidRDefault="00800D2B">
      <w:r>
        <w:br w:type="page"/>
      </w:r>
    </w:p>
    <w:tbl>
      <w:tblPr>
        <w:tblStyle w:val="TableGrid"/>
        <w:tblW w:w="14438" w:type="dxa"/>
        <w:tblLook w:val="04A0" w:firstRow="1" w:lastRow="0" w:firstColumn="1" w:lastColumn="0" w:noHBand="0" w:noVBand="1"/>
      </w:tblPr>
      <w:tblGrid>
        <w:gridCol w:w="4698"/>
        <w:gridCol w:w="5220"/>
        <w:gridCol w:w="4520"/>
      </w:tblGrid>
      <w:tr w:rsidR="00800D2B" w:rsidRPr="007408F9" w:rsidTr="005E7AC8">
        <w:trPr>
          <w:trHeight w:val="674"/>
        </w:trPr>
        <w:tc>
          <w:tcPr>
            <w:tcW w:w="4698"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800D2B" w:rsidRPr="007408F9" w:rsidRDefault="00800D2B" w:rsidP="005E7AC8">
            <w:pPr>
              <w:jc w:val="center"/>
              <w:rPr>
                <w:rFonts w:asciiTheme="majorHAnsi" w:hAnsiTheme="majorHAnsi"/>
                <w:b/>
                <w:szCs w:val="24"/>
              </w:rPr>
            </w:pPr>
            <w:r w:rsidRPr="007408F9">
              <w:rPr>
                <w:rFonts w:asciiTheme="majorHAnsi" w:hAnsiTheme="majorHAnsi"/>
                <w:b/>
                <w:szCs w:val="24"/>
              </w:rPr>
              <w:lastRenderedPageBreak/>
              <w:t>Studio Habits of Mind</w:t>
            </w:r>
          </w:p>
        </w:tc>
        <w:tc>
          <w:tcPr>
            <w:tcW w:w="5220"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800D2B" w:rsidRPr="007408F9" w:rsidRDefault="00800D2B" w:rsidP="00FD472B">
            <w:pPr>
              <w:jc w:val="center"/>
              <w:rPr>
                <w:rFonts w:asciiTheme="majorHAnsi" w:hAnsiTheme="majorHAnsi"/>
                <w:b/>
                <w:szCs w:val="24"/>
              </w:rPr>
            </w:pPr>
            <w:r w:rsidRPr="007408F9">
              <w:rPr>
                <w:rFonts w:asciiTheme="majorHAnsi" w:hAnsiTheme="majorHAnsi"/>
                <w:b/>
                <w:szCs w:val="24"/>
              </w:rPr>
              <w:t>English Language Arts</w:t>
            </w:r>
            <w:r w:rsidR="00FD472B">
              <w:rPr>
                <w:rFonts w:asciiTheme="majorHAnsi" w:hAnsiTheme="majorHAnsi"/>
                <w:b/>
                <w:szCs w:val="24"/>
              </w:rPr>
              <w:t xml:space="preserve"> </w:t>
            </w:r>
            <w:r w:rsidRPr="007408F9">
              <w:rPr>
                <w:rFonts w:asciiTheme="majorHAnsi" w:hAnsiTheme="majorHAnsi"/>
                <w:b/>
                <w:szCs w:val="24"/>
              </w:rPr>
              <w:t>Common Core</w:t>
            </w:r>
          </w:p>
        </w:tc>
        <w:tc>
          <w:tcPr>
            <w:tcW w:w="4520"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rsidR="00800D2B" w:rsidRPr="007408F9" w:rsidRDefault="00800D2B" w:rsidP="005E7AC8">
            <w:pPr>
              <w:jc w:val="center"/>
              <w:rPr>
                <w:rFonts w:asciiTheme="majorHAnsi" w:hAnsiTheme="majorHAnsi"/>
                <w:b/>
                <w:szCs w:val="24"/>
              </w:rPr>
            </w:pPr>
            <w:r w:rsidRPr="007408F9">
              <w:rPr>
                <w:rFonts w:asciiTheme="majorHAnsi" w:hAnsiTheme="majorHAnsi"/>
                <w:b/>
                <w:szCs w:val="24"/>
              </w:rPr>
              <w:t>Math Common Core</w:t>
            </w:r>
          </w:p>
        </w:tc>
      </w:tr>
      <w:tr w:rsidR="00491408" w:rsidRPr="007408F9" w:rsidTr="00316B7F">
        <w:trPr>
          <w:trHeight w:val="1376"/>
        </w:trPr>
        <w:tc>
          <w:tcPr>
            <w:tcW w:w="4698" w:type="dxa"/>
            <w:shd w:val="clear" w:color="auto" w:fill="EAF1DD" w:themeFill="accent3" w:themeFillTint="33"/>
          </w:tcPr>
          <w:p w:rsidR="00B85A23" w:rsidRPr="007408F9" w:rsidRDefault="003F458A" w:rsidP="00491408">
            <w:pPr>
              <w:rPr>
                <w:rFonts w:asciiTheme="majorHAnsi" w:hAnsiTheme="majorHAnsi"/>
                <w:sz w:val="20"/>
                <w:szCs w:val="20"/>
              </w:rPr>
            </w:pPr>
            <w:r w:rsidRPr="005E7AC8">
              <w:rPr>
                <w:rFonts w:asciiTheme="majorHAnsi" w:hAnsiTheme="majorHAnsi"/>
                <w:b/>
                <w:sz w:val="20"/>
                <w:szCs w:val="20"/>
              </w:rPr>
              <w:t>Stretch and Explore</w:t>
            </w:r>
            <w:r>
              <w:rPr>
                <w:rFonts w:asciiTheme="majorHAnsi" w:hAnsiTheme="majorHAnsi"/>
                <w:sz w:val="20"/>
                <w:szCs w:val="20"/>
              </w:rPr>
              <w:t>: Learning to r</w:t>
            </w:r>
            <w:r w:rsidRPr="007408F9">
              <w:rPr>
                <w:rFonts w:asciiTheme="majorHAnsi" w:hAnsiTheme="majorHAnsi"/>
                <w:sz w:val="20"/>
                <w:szCs w:val="20"/>
              </w:rPr>
              <w:t>each beyond one’s capacities, to explore playfully without a preconceived plan, and to embrace the opportunity to learn from mistakes and accidents</w:t>
            </w:r>
          </w:p>
        </w:tc>
        <w:tc>
          <w:tcPr>
            <w:tcW w:w="5220" w:type="dxa"/>
          </w:tcPr>
          <w:p w:rsidR="00FC3651" w:rsidRDefault="000E7299" w:rsidP="00FC3651">
            <w:pPr>
              <w:rPr>
                <w:rFonts w:asciiTheme="majorHAnsi" w:hAnsiTheme="majorHAnsi"/>
                <w:sz w:val="20"/>
                <w:szCs w:val="20"/>
              </w:rPr>
            </w:pPr>
            <w:r>
              <w:rPr>
                <w:rFonts w:asciiTheme="majorHAnsi" w:hAnsiTheme="majorHAnsi"/>
                <w:sz w:val="20"/>
                <w:szCs w:val="20"/>
              </w:rPr>
              <w:t>Learning to engage in peer evaluation as a process of improving student writing to reach beyond what is already written.  Using free-writing as a brainstorming tool; writing in various genres and becoming comfortable and competent as writers and readers.  Embracing being guided in English class through reading increasingly difficult texts that may be outside of the student’s ability or interest.</w:t>
            </w:r>
          </w:p>
          <w:p w:rsidR="00800D2B" w:rsidRPr="007408F9" w:rsidRDefault="00800D2B" w:rsidP="00FC3651">
            <w:pPr>
              <w:rPr>
                <w:rFonts w:asciiTheme="majorHAnsi" w:hAnsiTheme="majorHAnsi"/>
                <w:sz w:val="20"/>
                <w:szCs w:val="20"/>
              </w:rPr>
            </w:pPr>
          </w:p>
        </w:tc>
        <w:tc>
          <w:tcPr>
            <w:tcW w:w="4520" w:type="dxa"/>
          </w:tcPr>
          <w:p w:rsidR="00FC3651" w:rsidRPr="007408F9" w:rsidRDefault="00BE1E84" w:rsidP="00FC3651">
            <w:pPr>
              <w:rPr>
                <w:rFonts w:asciiTheme="majorHAnsi" w:hAnsiTheme="majorHAnsi"/>
                <w:sz w:val="20"/>
                <w:szCs w:val="20"/>
              </w:rPr>
            </w:pPr>
            <w:r>
              <w:rPr>
                <w:rFonts w:asciiTheme="majorHAnsi" w:hAnsiTheme="majorHAnsi"/>
                <w:sz w:val="20"/>
                <w:szCs w:val="20"/>
              </w:rPr>
              <w:t>Learning to reach beyond one</w:t>
            </w:r>
            <w:r w:rsidR="00316B7F">
              <w:rPr>
                <w:rFonts w:asciiTheme="majorHAnsi" w:hAnsiTheme="majorHAnsi"/>
                <w:sz w:val="20"/>
                <w:szCs w:val="20"/>
              </w:rPr>
              <w:t>’s current capacities, to explore mathematical problems without a preconceived plan, and to welcome the opportunity to learn from mistakes and accidents.</w:t>
            </w:r>
          </w:p>
        </w:tc>
      </w:tr>
      <w:tr w:rsidR="00491408" w:rsidRPr="007408F9" w:rsidTr="00186675">
        <w:trPr>
          <w:trHeight w:val="1790"/>
        </w:trPr>
        <w:tc>
          <w:tcPr>
            <w:tcW w:w="4698" w:type="dxa"/>
            <w:shd w:val="clear" w:color="auto" w:fill="EAF1DD" w:themeFill="accent3" w:themeFillTint="33"/>
          </w:tcPr>
          <w:p w:rsidR="00B85A23" w:rsidRPr="003F458A" w:rsidRDefault="00B85A23" w:rsidP="00FC3651">
            <w:pPr>
              <w:rPr>
                <w:rFonts w:asciiTheme="majorHAnsi" w:hAnsiTheme="majorHAnsi"/>
                <w:b/>
                <w:sz w:val="20"/>
                <w:szCs w:val="20"/>
              </w:rPr>
            </w:pPr>
            <w:r w:rsidRPr="003F458A">
              <w:rPr>
                <w:rFonts w:asciiTheme="majorHAnsi" w:hAnsiTheme="majorHAnsi"/>
                <w:b/>
                <w:sz w:val="20"/>
                <w:szCs w:val="20"/>
              </w:rPr>
              <w:t>Understand Professional World</w:t>
            </w:r>
            <w:r w:rsidR="003F458A">
              <w:rPr>
                <w:rFonts w:asciiTheme="majorHAnsi" w:hAnsiTheme="majorHAnsi"/>
                <w:b/>
                <w:sz w:val="20"/>
                <w:szCs w:val="20"/>
              </w:rPr>
              <w:t xml:space="preserve">: </w:t>
            </w:r>
            <w:r w:rsidRPr="003F458A">
              <w:rPr>
                <w:rFonts w:asciiTheme="majorHAnsi" w:hAnsiTheme="majorHAnsi"/>
                <w:i/>
                <w:sz w:val="20"/>
                <w:szCs w:val="20"/>
              </w:rPr>
              <w:t>Domain</w:t>
            </w:r>
            <w:r w:rsidRPr="007408F9">
              <w:rPr>
                <w:rFonts w:asciiTheme="majorHAnsi" w:hAnsiTheme="majorHAnsi"/>
                <w:sz w:val="20"/>
                <w:szCs w:val="20"/>
              </w:rPr>
              <w:t>:  Learning about art history and current practice</w:t>
            </w:r>
            <w:r w:rsidR="003F458A">
              <w:rPr>
                <w:rFonts w:asciiTheme="majorHAnsi" w:hAnsiTheme="majorHAnsi"/>
                <w:sz w:val="20"/>
                <w:szCs w:val="20"/>
              </w:rPr>
              <w:t>.</w:t>
            </w:r>
            <w:r w:rsidR="003F458A">
              <w:rPr>
                <w:rFonts w:asciiTheme="majorHAnsi" w:hAnsiTheme="majorHAnsi"/>
                <w:b/>
                <w:sz w:val="20"/>
                <w:szCs w:val="20"/>
              </w:rPr>
              <w:t xml:space="preserve">  </w:t>
            </w:r>
            <w:r w:rsidRPr="003F458A">
              <w:rPr>
                <w:rFonts w:asciiTheme="majorHAnsi" w:hAnsiTheme="majorHAnsi"/>
                <w:i/>
                <w:sz w:val="20"/>
                <w:szCs w:val="20"/>
              </w:rPr>
              <w:t>Communities</w:t>
            </w:r>
            <w:r w:rsidR="003F458A">
              <w:rPr>
                <w:rFonts w:asciiTheme="majorHAnsi" w:hAnsiTheme="majorHAnsi"/>
                <w:sz w:val="20"/>
                <w:szCs w:val="20"/>
              </w:rPr>
              <w:t>:  Learning to i</w:t>
            </w:r>
            <w:r w:rsidRPr="007408F9">
              <w:rPr>
                <w:rFonts w:asciiTheme="majorHAnsi" w:hAnsiTheme="majorHAnsi"/>
                <w:sz w:val="20"/>
                <w:szCs w:val="20"/>
              </w:rPr>
              <w:t>nteract as an artist with other artists (i.e., in classrooms, in local arts organizations, and across the art field) and within the broader society</w:t>
            </w:r>
          </w:p>
        </w:tc>
        <w:tc>
          <w:tcPr>
            <w:tcW w:w="5220" w:type="dxa"/>
          </w:tcPr>
          <w:p w:rsidR="00FC3651" w:rsidRPr="007408F9" w:rsidRDefault="000E7299" w:rsidP="00FC3651">
            <w:pPr>
              <w:rPr>
                <w:rFonts w:asciiTheme="majorHAnsi" w:hAnsiTheme="majorHAnsi"/>
                <w:sz w:val="20"/>
                <w:szCs w:val="20"/>
              </w:rPr>
            </w:pPr>
            <w:r>
              <w:rPr>
                <w:rFonts w:asciiTheme="majorHAnsi" w:hAnsiTheme="majorHAnsi"/>
                <w:sz w:val="20"/>
                <w:szCs w:val="20"/>
              </w:rPr>
              <w:t>Learning to identify structures of literature and varied writing genres.  Examining literature to understand how symbols, themes and narrative structures inform a text.  Learning about the various schools of literary criticism and how they apply to shared texts.</w:t>
            </w:r>
          </w:p>
        </w:tc>
        <w:tc>
          <w:tcPr>
            <w:tcW w:w="4520" w:type="dxa"/>
          </w:tcPr>
          <w:p w:rsidR="00FC3651" w:rsidRPr="007408F9" w:rsidRDefault="00316B7F" w:rsidP="00FC3651">
            <w:pPr>
              <w:rPr>
                <w:rFonts w:asciiTheme="majorHAnsi" w:hAnsiTheme="majorHAnsi"/>
                <w:sz w:val="20"/>
                <w:szCs w:val="20"/>
              </w:rPr>
            </w:pPr>
            <w:r>
              <w:rPr>
                <w:rFonts w:asciiTheme="majorHAnsi" w:hAnsiTheme="majorHAnsi"/>
                <w:sz w:val="20"/>
                <w:szCs w:val="20"/>
              </w:rPr>
              <w:t>Learning about math history, about developments in mathematics, and about current mathematical ideas, trends, and paradigms.</w:t>
            </w:r>
          </w:p>
        </w:tc>
      </w:tr>
    </w:tbl>
    <w:p w:rsidR="00AB141D" w:rsidRPr="007408F9" w:rsidRDefault="00AB141D" w:rsidP="00B85A23">
      <w:pPr>
        <w:rPr>
          <w:rFonts w:asciiTheme="majorHAnsi" w:hAnsiTheme="majorHAnsi"/>
        </w:rPr>
      </w:pPr>
    </w:p>
    <w:sectPr w:rsidR="00AB141D" w:rsidRPr="007408F9" w:rsidSect="00800D2B">
      <w:headerReference w:type="default" r:id="rId7"/>
      <w:pgSz w:w="15840" w:h="12240" w:orient="landscape"/>
      <w:pgMar w:top="144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4C" w:rsidRDefault="0090084C" w:rsidP="00800D2B">
      <w:pPr>
        <w:spacing w:after="0" w:line="240" w:lineRule="auto"/>
      </w:pPr>
      <w:r>
        <w:separator/>
      </w:r>
    </w:p>
  </w:endnote>
  <w:endnote w:type="continuationSeparator" w:id="0">
    <w:p w:rsidR="0090084C" w:rsidRDefault="0090084C" w:rsidP="00800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4C" w:rsidRDefault="0090084C" w:rsidP="00800D2B">
      <w:pPr>
        <w:spacing w:after="0" w:line="240" w:lineRule="auto"/>
      </w:pPr>
      <w:r>
        <w:separator/>
      </w:r>
    </w:p>
  </w:footnote>
  <w:footnote w:type="continuationSeparator" w:id="0">
    <w:p w:rsidR="0090084C" w:rsidRDefault="0090084C" w:rsidP="00800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AC8" w:rsidRPr="008C31CA" w:rsidRDefault="005E7AC8" w:rsidP="00800D2B">
    <w:pPr>
      <w:pStyle w:val="Header"/>
      <w:jc w:val="center"/>
      <w:rPr>
        <w:rFonts w:asciiTheme="majorHAnsi" w:hAnsiTheme="majorHAnsi"/>
        <w:b/>
        <w:sz w:val="36"/>
        <w:szCs w:val="32"/>
      </w:rPr>
    </w:pPr>
    <w:r w:rsidRPr="008C31CA">
      <w:rPr>
        <w:rFonts w:asciiTheme="majorHAnsi" w:hAnsiTheme="majorHAnsi"/>
        <w:b/>
        <w:sz w:val="36"/>
        <w:szCs w:val="32"/>
      </w:rPr>
      <w:t>STUDIO HABITS OF MIND &amp; COMMON CORE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25"/>
    <w:rsid w:val="000E7299"/>
    <w:rsid w:val="00186675"/>
    <w:rsid w:val="00316B7F"/>
    <w:rsid w:val="003F458A"/>
    <w:rsid w:val="0044269A"/>
    <w:rsid w:val="00481899"/>
    <w:rsid w:val="00491408"/>
    <w:rsid w:val="005E7AC8"/>
    <w:rsid w:val="00657C48"/>
    <w:rsid w:val="007408F9"/>
    <w:rsid w:val="007519A2"/>
    <w:rsid w:val="007812F6"/>
    <w:rsid w:val="00800D2B"/>
    <w:rsid w:val="0084432B"/>
    <w:rsid w:val="00846CC0"/>
    <w:rsid w:val="008C31CA"/>
    <w:rsid w:val="008D31A8"/>
    <w:rsid w:val="0090084C"/>
    <w:rsid w:val="00924D25"/>
    <w:rsid w:val="00A817B3"/>
    <w:rsid w:val="00AB141D"/>
    <w:rsid w:val="00B85A23"/>
    <w:rsid w:val="00BC0E49"/>
    <w:rsid w:val="00BE1E84"/>
    <w:rsid w:val="00BE4795"/>
    <w:rsid w:val="00FC3651"/>
    <w:rsid w:val="00FD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24D25"/>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924D25"/>
    <w:rPr>
      <w:rFonts w:asciiTheme="minorHAnsi" w:eastAsiaTheme="minorEastAsia" w:hAnsiTheme="minorHAnsi"/>
      <w:i/>
      <w:iCs/>
      <w:color w:val="000000" w:themeColor="text1"/>
      <w:sz w:val="22"/>
      <w:lang w:eastAsia="ja-JP"/>
    </w:rPr>
  </w:style>
  <w:style w:type="paragraph" w:styleId="BalloonText">
    <w:name w:val="Balloon Text"/>
    <w:basedOn w:val="Normal"/>
    <w:link w:val="BalloonTextChar"/>
    <w:uiPriority w:val="99"/>
    <w:semiHidden/>
    <w:unhideWhenUsed/>
    <w:rsid w:val="0092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25"/>
    <w:rPr>
      <w:rFonts w:ascii="Tahoma" w:hAnsi="Tahoma" w:cs="Tahoma"/>
      <w:sz w:val="16"/>
      <w:szCs w:val="16"/>
    </w:rPr>
  </w:style>
  <w:style w:type="table" w:styleId="TableGrid">
    <w:name w:val="Table Grid"/>
    <w:basedOn w:val="TableNormal"/>
    <w:uiPriority w:val="59"/>
    <w:rsid w:val="00FC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D2B"/>
  </w:style>
  <w:style w:type="paragraph" w:styleId="Footer">
    <w:name w:val="footer"/>
    <w:basedOn w:val="Normal"/>
    <w:link w:val="FooterChar"/>
    <w:uiPriority w:val="99"/>
    <w:unhideWhenUsed/>
    <w:rsid w:val="00800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24D25"/>
    <w:rPr>
      <w:rFonts w:asciiTheme="minorHAnsi" w:eastAsiaTheme="minorEastAsia" w:hAnsiTheme="minorHAnsi"/>
      <w:i/>
      <w:iCs/>
      <w:color w:val="000000" w:themeColor="text1"/>
      <w:sz w:val="22"/>
      <w:lang w:eastAsia="ja-JP"/>
    </w:rPr>
  </w:style>
  <w:style w:type="character" w:customStyle="1" w:styleId="QuoteChar">
    <w:name w:val="Quote Char"/>
    <w:basedOn w:val="DefaultParagraphFont"/>
    <w:link w:val="Quote"/>
    <w:uiPriority w:val="29"/>
    <w:rsid w:val="00924D25"/>
    <w:rPr>
      <w:rFonts w:asciiTheme="minorHAnsi" w:eastAsiaTheme="minorEastAsia" w:hAnsiTheme="minorHAnsi"/>
      <w:i/>
      <w:iCs/>
      <w:color w:val="000000" w:themeColor="text1"/>
      <w:sz w:val="22"/>
      <w:lang w:eastAsia="ja-JP"/>
    </w:rPr>
  </w:style>
  <w:style w:type="paragraph" w:styleId="BalloonText">
    <w:name w:val="Balloon Text"/>
    <w:basedOn w:val="Normal"/>
    <w:link w:val="BalloonTextChar"/>
    <w:uiPriority w:val="99"/>
    <w:semiHidden/>
    <w:unhideWhenUsed/>
    <w:rsid w:val="00924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D25"/>
    <w:rPr>
      <w:rFonts w:ascii="Tahoma" w:hAnsi="Tahoma" w:cs="Tahoma"/>
      <w:sz w:val="16"/>
      <w:szCs w:val="16"/>
    </w:rPr>
  </w:style>
  <w:style w:type="table" w:styleId="TableGrid">
    <w:name w:val="Table Grid"/>
    <w:basedOn w:val="TableNormal"/>
    <w:uiPriority w:val="59"/>
    <w:rsid w:val="00FC3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D2B"/>
  </w:style>
  <w:style w:type="paragraph" w:styleId="Footer">
    <w:name w:val="footer"/>
    <w:basedOn w:val="Normal"/>
    <w:link w:val="FooterChar"/>
    <w:uiPriority w:val="99"/>
    <w:unhideWhenUsed/>
    <w:rsid w:val="00800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SCOE</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Markiss, Helen</dc:creator>
  <cp:lastModifiedBy>Sarah Brothers</cp:lastModifiedBy>
  <cp:revision>2</cp:revision>
  <cp:lastPrinted>2013-01-23T22:16:00Z</cp:lastPrinted>
  <dcterms:created xsi:type="dcterms:W3CDTF">2015-08-11T22:39:00Z</dcterms:created>
  <dcterms:modified xsi:type="dcterms:W3CDTF">2015-08-11T22:39:00Z</dcterms:modified>
</cp:coreProperties>
</file>